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37" w:type="dxa"/>
        <w:shd w:val="clear" w:color="auto" w:fill="FFFFFF"/>
        <w:tblCellMar>
          <w:left w:w="0" w:type="dxa"/>
          <w:right w:w="0" w:type="dxa"/>
        </w:tblCellMar>
        <w:tblLook w:val="04A0"/>
      </w:tblPr>
      <w:tblGrid>
        <w:gridCol w:w="9508"/>
      </w:tblGrid>
      <w:tr w:rsidR="00D041D4" w:rsidRPr="00D041D4" w:rsidTr="00D041D4">
        <w:trPr>
          <w:tblCellSpacing w:w="37" w:type="dxa"/>
        </w:trPr>
        <w:tc>
          <w:tcPr>
            <w:tcW w:w="5000" w:type="pct"/>
            <w:shd w:val="clear" w:color="auto" w:fill="FFFFFF"/>
            <w:hideMark/>
          </w:tcPr>
          <w:p w:rsidR="00D041D4" w:rsidRPr="00D041D4" w:rsidRDefault="00D041D4" w:rsidP="00D041D4">
            <w:pPr>
              <w:spacing w:before="100" w:beforeAutospacing="1" w:after="100" w:afterAutospacing="1" w:line="240" w:lineRule="auto"/>
              <w:jc w:val="center"/>
              <w:rPr>
                <w:rFonts w:ascii="Arial" w:eastAsia="Times New Roman" w:hAnsi="Arial" w:cs="Arial"/>
                <w:b/>
                <w:bCs/>
                <w:color w:val="274D7C"/>
                <w:sz w:val="30"/>
                <w:szCs w:val="30"/>
              </w:rPr>
            </w:pPr>
            <w:r w:rsidRPr="00D041D4">
              <w:rPr>
                <w:rFonts w:ascii="Arial" w:eastAsia="Times New Roman" w:hAnsi="Arial" w:cs="Arial"/>
                <w:b/>
                <w:bCs/>
                <w:color w:val="274D7C"/>
                <w:sz w:val="30"/>
                <w:szCs w:val="30"/>
              </w:rPr>
              <w:t>Một số nội dung cơ bản về chính sách thận trọng vĩ mô</w:t>
            </w:r>
          </w:p>
        </w:tc>
      </w:tr>
      <w:tr w:rsidR="00D041D4" w:rsidRPr="00D041D4" w:rsidTr="00D041D4">
        <w:trPr>
          <w:tblCellSpacing w:w="37" w:type="dxa"/>
        </w:trPr>
        <w:tc>
          <w:tcPr>
            <w:tcW w:w="0" w:type="auto"/>
            <w:shd w:val="clear" w:color="auto" w:fill="FFFFFF"/>
            <w:hideMark/>
          </w:tcPr>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Cuộc khủng hoảng tài chính gần đây đã cho thấy sự thiếu hụt trầm trọng những khuôn mẫu phân tích giúp dự đoán và đối phó với tình trạng mất cân bằng tài chính vốn được tích tụ qua các thời kỳ tại từng quốc gia. Thực tế là một khi sự mất cân bằng này đột ngột lan rộng thì chắc chắn sẽ để lại những hậu quả kinh tế vĩ mô vô cùng nghiêm trọng. Đơn cử như chúng ta đã không nắm bắt được những nguy cơ rủi ro có tính hệ thống, không đánh giá được mức độ chấp nhận rủi ro của các tổ chức tài chính trong điều kiện kinh tế tăng trưởng cao và lãi suất cho vay thấp v.v. Nhìn từ góc độ chính sách, một quốc gia sử dụng phương pháp giám sát và hoạch định chính sách ở tầm vi mô trước đây đã không còn thích hợp. Vì vậy, một chính sách tối ưu ở tầm vĩ mô cần được tập trung xây dựng và hoàn thiện.</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xml:space="preserve">Trong suốt 2 thập kỷ qua, các quốc gia thường đặt mục tiêu của chính sách tiền tệ là ổn định giá, tạo công </w:t>
            </w:r>
            <w:proofErr w:type="gramStart"/>
            <w:r w:rsidRPr="00D041D4">
              <w:rPr>
                <w:rFonts w:ascii="Times New Roman" w:eastAsia="Times New Roman" w:hAnsi="Times New Roman" w:cs="Times New Roman"/>
                <w:color w:val="000000"/>
                <w:sz w:val="24"/>
                <w:szCs w:val="24"/>
              </w:rPr>
              <w:t>ăn</w:t>
            </w:r>
            <w:proofErr w:type="gramEnd"/>
            <w:r w:rsidRPr="00D041D4">
              <w:rPr>
                <w:rFonts w:ascii="Times New Roman" w:eastAsia="Times New Roman" w:hAnsi="Times New Roman" w:cs="Times New Roman"/>
                <w:color w:val="000000"/>
                <w:sz w:val="24"/>
                <w:szCs w:val="24"/>
              </w:rPr>
              <w:t xml:space="preserve"> việc làm và đảm bảo tăng trưởng bền vững. Mục tiêu của chính sách tiền tệ như vậy là khá rõ ràng và đã nhận được sự đồng thuận cao. Tuy nhiên, thực tế cho thấy việc thực hiện chính sách tiền tệ này vẫn có hạn chế khi nó được triển khai theo mô hình hoạch định chính sách ở tầm vi mô. Do vậy, trong tình hình mới, các nhà hoạch định chính sách quốc tế đã đưa ra khái niệm về chính sách thận trọng vĩ mô. Theo đó, </w:t>
            </w:r>
            <w:r w:rsidRPr="00134427">
              <w:rPr>
                <w:rFonts w:ascii="Times New Roman" w:eastAsia="Times New Roman" w:hAnsi="Times New Roman" w:cs="Times New Roman"/>
                <w:b/>
                <w:color w:val="000000"/>
                <w:sz w:val="24"/>
                <w:szCs w:val="24"/>
              </w:rPr>
              <w:t>chính sách thận trọng vĩ mô được hiểu là tập trung ổn định tài chính trước các cú sốc, hạn chế rủi ro và chi phí của khủng hoảng, bảo đảm cung cấp ổn định các dịch vụ trung gian tài chính đối với nền kinh tế, tránh để xảy ra tình trạng bùng nổ hoặc vắt kiệt nguồn tín dụng và thanh khoản đối với hệ thống tài chính v.v.</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Theo các chuyên gia, việc sử dụng phương pháp thận trọng vĩ mô khi hoạch định chính sách sẽ hiệu quả hơn so với phương pháp vi mô vì chính sách thận trọng vĩ mô đã xem xét một số yếu tố mà chính sách vi mô bỏ qua, như: ảnh hưởng mang tính hệ thống, mối tương quan và nguy cơ rủi ro giữa các bên liên quan, … Một chính sách thận trọng vĩ mô có một số điểm chính như sau:</w:t>
            </w:r>
          </w:p>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w:t>
            </w:r>
          </w:p>
          <w:tbl>
            <w:tblPr>
              <w:tblW w:w="0" w:type="auto"/>
              <w:tblInd w:w="279" w:type="dxa"/>
              <w:tblCellMar>
                <w:left w:w="0" w:type="dxa"/>
                <w:right w:w="0" w:type="dxa"/>
              </w:tblCellMar>
              <w:tblLook w:val="04A0"/>
            </w:tblPr>
            <w:tblGrid>
              <w:gridCol w:w="2280"/>
              <w:gridCol w:w="3306"/>
              <w:gridCol w:w="3078"/>
            </w:tblGrid>
            <w:tr w:rsidR="00D041D4" w:rsidRPr="00D041D4">
              <w:tc>
                <w:tcPr>
                  <w:tcW w:w="8664" w:type="dxa"/>
                  <w:gridSpan w:val="3"/>
                  <w:tcBorders>
                    <w:top w:val="single" w:sz="8" w:space="0" w:color="auto"/>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center"/>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Chính sách thận trọng vĩ mô – Chính sách thận trọng vi mô</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 </w:t>
                  </w:r>
                </w:p>
              </w:tc>
              <w:tc>
                <w:tcPr>
                  <w:tcW w:w="3306"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Chính sách thận trọng vĩ mô</w:t>
                  </w:r>
                </w:p>
              </w:tc>
              <w:tc>
                <w:tcPr>
                  <w:tcW w:w="3078"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Chính sách thận trọng vi mô</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Mục tiêu hàng đầu</w:t>
                  </w:r>
                </w:p>
              </w:tc>
              <w:tc>
                <w:tcPr>
                  <w:tcW w:w="3306"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Hạn chế hiểm họa tài chính trên quy mô hệ thống</w:t>
                  </w:r>
                </w:p>
              </w:tc>
              <w:tc>
                <w:tcPr>
                  <w:tcW w:w="3078"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Hạn chế nguy cơ rủi ro đối với từng tổ chức</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Mục tiêu cuối cùng</w:t>
                  </w:r>
                </w:p>
              </w:tc>
              <w:tc>
                <w:tcPr>
                  <w:tcW w:w="3306"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Tránh các chi phí vĩ mô liên quan đến bất ổn tài chính</w:t>
                  </w:r>
                </w:p>
              </w:tc>
              <w:tc>
                <w:tcPr>
                  <w:tcW w:w="3078"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Bảo vệ người tiêu dùng (nhà đầu tư/người gửi tiền)</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Đặc điểm của rủi ro</w:t>
                  </w:r>
                </w:p>
              </w:tc>
              <w:tc>
                <w:tcPr>
                  <w:tcW w:w="3306"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Nội sinh (phụ thuộc vào hành vi đám đông đầu tư)</w:t>
                  </w:r>
                </w:p>
              </w:tc>
              <w:tc>
                <w:tcPr>
                  <w:tcW w:w="3078"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Ngoại sinh (độc lập với hành vi của nhà đầu tư)</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Mối tương quan và nguy cơ rủi ro giữa các tổ chức</w:t>
                  </w:r>
                </w:p>
              </w:tc>
              <w:tc>
                <w:tcPr>
                  <w:tcW w:w="3306"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Quan trọng</w:t>
                  </w:r>
                </w:p>
              </w:tc>
              <w:tc>
                <w:tcPr>
                  <w:tcW w:w="3078"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Không liên quan</w:t>
                  </w:r>
                </w:p>
              </w:tc>
            </w:tr>
            <w:tr w:rsidR="00D041D4" w:rsidRPr="00D041D4">
              <w:tc>
                <w:tcPr>
                  <w:tcW w:w="2280"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Phương thức kiểm soát</w:t>
                  </w:r>
                </w:p>
              </w:tc>
              <w:tc>
                <w:tcPr>
                  <w:tcW w:w="3306" w:type="dxa"/>
                  <w:tcBorders>
                    <w:top w:val="outset" w:sz="6" w:space="0" w:color="ECE9D8"/>
                    <w:left w:val="outset" w:sz="6" w:space="0" w:color="ECE9D8"/>
                    <w:bottom w:val="single" w:sz="8" w:space="0" w:color="auto"/>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Từ trên xuống dưới (trên cơ sở xem xét rủi ro hệ thống)</w:t>
                  </w:r>
                </w:p>
              </w:tc>
              <w:tc>
                <w:tcPr>
                  <w:tcW w:w="307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Từ dưới lên trên (trên cơ sở xem xét rủi ro của từng tổ chức)</w:t>
                  </w:r>
                </w:p>
              </w:tc>
            </w:tr>
          </w:tbl>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xml:space="preserve">Trong khi công cụ của chính sách tiền tệ được sử dụng thống nhất trên toàn hệ thống ngân hàng trung ương thế giới, nhiều công cụ của chính sách thận trọng vĩ mô cũng đã được đề xuất nhưng đến nay vẫn không có được một công cụ hoặc một tập hợp các công cụ chủ đạo nào. Bên cạnh đó, trong quá trình hoạch định chính sách thận trọng vĩ mô, một khía cạnh nữa cần tính </w:t>
            </w:r>
            <w:r w:rsidRPr="00D041D4">
              <w:rPr>
                <w:rFonts w:ascii="Times New Roman" w:eastAsia="Times New Roman" w:hAnsi="Times New Roman" w:cs="Times New Roman"/>
                <w:color w:val="000000"/>
                <w:sz w:val="24"/>
                <w:szCs w:val="24"/>
              </w:rPr>
              <w:lastRenderedPageBreak/>
              <w:t>tới là phân biệt giữa chính sách thận trọng vĩ mô và chính sách kinh tế vĩ mô (ví dụ như chính sách tài chính). Dưới đây là bảng tóm tắt một số điểm cơ bản về một loạt các chính sách bảo đảm năng lực ổn định của hệ thống tài chính.</w:t>
            </w:r>
          </w:p>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w:t>
            </w:r>
          </w:p>
          <w:tbl>
            <w:tblPr>
              <w:tblW w:w="0" w:type="auto"/>
              <w:tblInd w:w="279" w:type="dxa"/>
              <w:tblCellMar>
                <w:left w:w="0" w:type="dxa"/>
                <w:right w:w="0" w:type="dxa"/>
              </w:tblCellMar>
              <w:tblLook w:val="04A0"/>
            </w:tblPr>
            <w:tblGrid>
              <w:gridCol w:w="2280"/>
              <w:gridCol w:w="3363"/>
              <w:gridCol w:w="3021"/>
            </w:tblGrid>
            <w:tr w:rsidR="00D041D4" w:rsidRPr="00D041D4">
              <w:tc>
                <w:tcPr>
                  <w:tcW w:w="8664" w:type="dxa"/>
                  <w:gridSpan w:val="3"/>
                  <w:tcBorders>
                    <w:top w:val="single" w:sz="8" w:space="0" w:color="auto"/>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center"/>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Các chính sách đảm bảo ổn định tài chính</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 </w:t>
                  </w:r>
                </w:p>
              </w:tc>
              <w:tc>
                <w:tcPr>
                  <w:tcW w:w="3363"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center"/>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Mục tiêu</w:t>
                  </w:r>
                </w:p>
              </w:tc>
              <w:tc>
                <w:tcPr>
                  <w:tcW w:w="3021"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center"/>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Công cụ</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Chính sách thận trọng: vi mô</w:t>
                  </w:r>
                </w:p>
              </w:tc>
              <w:tc>
                <w:tcPr>
                  <w:tcW w:w="3363"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Hạn chế nguy cơ rủi ro đối với từng tổ chức</w:t>
                  </w:r>
                </w:p>
              </w:tc>
              <w:tc>
                <w:tcPr>
                  <w:tcW w:w="3021"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Vd: Chất lượng vốn, tỷ lệ đòn bẩy tài chính</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Chính sách thận trọng: vĩ mô</w:t>
                  </w:r>
                </w:p>
              </w:tc>
              <w:tc>
                <w:tcPr>
                  <w:tcW w:w="3363"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Hạn chế hiểm họa tài chính trên quy mô hệ thống</w:t>
                  </w:r>
                </w:p>
              </w:tc>
              <w:tc>
                <w:tcPr>
                  <w:tcW w:w="3021"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Vd: Chi phí vốn chính sách</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Chính sách tiền tệ</w:t>
                  </w:r>
                </w:p>
              </w:tc>
              <w:tc>
                <w:tcPr>
                  <w:tcW w:w="3363"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Ổn định giá</w:t>
                  </w:r>
                </w:p>
              </w:tc>
              <w:tc>
                <w:tcPr>
                  <w:tcW w:w="3021"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Lãi suất cơ bản, hợp đồng mua lại chuẩn</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 </w:t>
                  </w:r>
                </w:p>
              </w:tc>
              <w:tc>
                <w:tcPr>
                  <w:tcW w:w="3363"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Quản lý thanh khoản</w:t>
                  </w:r>
                </w:p>
              </w:tc>
              <w:tc>
                <w:tcPr>
                  <w:tcW w:w="3021"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Chính sách cầm cố, lãi suất của các khoản mục dự trữ</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 </w:t>
                  </w:r>
                </w:p>
              </w:tc>
              <w:tc>
                <w:tcPr>
                  <w:tcW w:w="3363"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Điều chỉnh sự mất cân bằng tài chính</w:t>
                  </w:r>
                </w:p>
              </w:tc>
              <w:tc>
                <w:tcPr>
                  <w:tcW w:w="3021"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Lãi suất cơ bản, yêu cầu dự trữ bắt buộc, tài sản dự trữ ngoại hối có tính lỏng cao</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Chính sách tài chính</w:t>
                  </w:r>
                </w:p>
              </w:tc>
              <w:tc>
                <w:tcPr>
                  <w:tcW w:w="3363"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Quản lý tổng cầu</w:t>
                  </w:r>
                </w:p>
              </w:tc>
              <w:tc>
                <w:tcPr>
                  <w:tcW w:w="3021"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Thuế, các yếu tố cân bằng động, các biện pháp điều chỉnh thận trọng</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 </w:t>
                  </w:r>
                </w:p>
              </w:tc>
              <w:tc>
                <w:tcPr>
                  <w:tcW w:w="3363"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Xây dựng bước đệm tài chính trong lúc thị trường ổn định</w:t>
                  </w:r>
                </w:p>
              </w:tc>
              <w:tc>
                <w:tcPr>
                  <w:tcW w:w="3021"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Vd: các biện pháp giảm nợ, thuế/phí đối với hệ thống tài chính</w:t>
                  </w:r>
                </w:p>
              </w:tc>
            </w:tr>
            <w:tr w:rsidR="00D041D4" w:rsidRPr="00D041D4">
              <w:tc>
                <w:tcPr>
                  <w:tcW w:w="2280" w:type="dxa"/>
                  <w:tcBorders>
                    <w:top w:val="outset" w:sz="6" w:space="0" w:color="ECE9D8"/>
                    <w:left w:val="single" w:sz="8" w:space="0" w:color="auto"/>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Kiểm soát vốn</w:t>
                  </w:r>
                </w:p>
              </w:tc>
              <w:tc>
                <w:tcPr>
                  <w:tcW w:w="3363" w:type="dxa"/>
                  <w:tcBorders>
                    <w:top w:val="outset" w:sz="6" w:space="0" w:color="ECE9D8"/>
                    <w:left w:val="outset" w:sz="6" w:space="0" w:color="ECE9D8"/>
                    <w:bottom w:val="single" w:sz="8" w:space="0" w:color="008000"/>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Hạn chế sự chênh lệch tỷ giá trên toàn hệ thống</w:t>
                  </w:r>
                </w:p>
              </w:tc>
              <w:tc>
                <w:tcPr>
                  <w:tcW w:w="3021" w:type="dxa"/>
                  <w:tcBorders>
                    <w:top w:val="outset" w:sz="6" w:space="0" w:color="ECE9D8"/>
                    <w:left w:val="outset" w:sz="6" w:space="0" w:color="ECE9D8"/>
                    <w:bottom w:val="single" w:sz="8" w:space="0" w:color="008000"/>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Vd: hạn chế trạng thái ngoại hối mở, những ràng buộc đối với loại tài sản ngoại hối</w:t>
                  </w:r>
                </w:p>
              </w:tc>
            </w:tr>
            <w:tr w:rsidR="00D041D4" w:rsidRPr="00D041D4">
              <w:tc>
                <w:tcPr>
                  <w:tcW w:w="2280"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Chính sách hạ tầng</w:t>
                  </w:r>
                </w:p>
              </w:tc>
              <w:tc>
                <w:tcPr>
                  <w:tcW w:w="3363" w:type="dxa"/>
                  <w:tcBorders>
                    <w:top w:val="outset" w:sz="6" w:space="0" w:color="ECE9D8"/>
                    <w:left w:val="outset" w:sz="6" w:space="0" w:color="ECE9D8"/>
                    <w:bottom w:val="single" w:sz="8" w:space="0" w:color="auto"/>
                    <w:right w:val="single" w:sz="8" w:space="0" w:color="008000"/>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Tăng cường năng lực hạ tầng tài chính</w:t>
                  </w:r>
                </w:p>
              </w:tc>
              <w:tc>
                <w:tcPr>
                  <w:tcW w:w="302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041D4" w:rsidRPr="00D041D4" w:rsidRDefault="00D041D4" w:rsidP="00D041D4">
                  <w:pPr>
                    <w:spacing w:after="0" w:line="240" w:lineRule="auto"/>
                    <w:jc w:val="both"/>
                    <w:rPr>
                      <w:rFonts w:ascii="Times New Roman" w:eastAsia="Times New Roman" w:hAnsi="Times New Roman" w:cs="Times New Roman"/>
                      <w:sz w:val="24"/>
                      <w:szCs w:val="24"/>
                    </w:rPr>
                  </w:pPr>
                  <w:r w:rsidRPr="00D041D4">
                    <w:rPr>
                      <w:rFonts w:ascii="Times New Roman" w:eastAsia="Times New Roman" w:hAnsi="Times New Roman" w:cs="Times New Roman"/>
                      <w:sz w:val="24"/>
                      <w:szCs w:val="24"/>
                    </w:rPr>
                    <w:t>Vd: đưa các sản phẩm phái sinh niêm yết trên thị trường</w:t>
                  </w:r>
                </w:p>
              </w:tc>
            </w:tr>
          </w:tbl>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Từ những phân tích trên, có thể thấy nội dung của chính sách thận trọng vĩ mô còn nhiều điểm phải bàn trước khi đi đến thống nhất giữa các quốc gia. Có 3 nguyên nhân chính giải thích cho tình trạng này: một là, phương pháp thận trọng vĩ mô gần đây mới được chú ý, định nghĩa về ổn định tài chính và mục tiêu của chính sách vĩ mô thận trọng chưa rõ ràng; hai là, thiếu sự hiểu biết đầy đủ và thiếu mô hình xây dựng về mối tương quan giữa hệ thống tài chính và nền kinh tế vĩ mô; ba là, quan điểm về chính sách thận trọng vi mô và vĩ mô và mối quan hệ giữa chúng vẫn còn nhiều khác biệt.</w:t>
            </w:r>
          </w:p>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b/>
                <w:bCs/>
                <w:color w:val="000000"/>
                <w:sz w:val="24"/>
                <w:szCs w:val="24"/>
              </w:rPr>
              <w:t> </w:t>
            </w:r>
          </w:p>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b/>
                <w:bCs/>
                <w:color w:val="000000"/>
                <w:sz w:val="24"/>
                <w:szCs w:val="24"/>
              </w:rPr>
              <w:t>Bất ổn  tài chính và rủi ro hệ thống</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xml:space="preserve">Khái niệm về ổn định tài chính thường được thảo luận dưới góc độ rủi ro hệ thống và bản chất của nó. Rủi ro hệ thống là rủi ro mà các tổ chức phải hứng chịu những sự việc có tính hệ thống trước tác động của các cơn sốc, dẫn đến sự rối loạn của hệ thống kinh tế. Vậy làm thế nào để định lượng rủi ro hệ thống và đánh giá được tầm quan trọng hệ thống của từng tổ chức tài </w:t>
            </w:r>
            <w:proofErr w:type="gramStart"/>
            <w:r w:rsidRPr="00D041D4">
              <w:rPr>
                <w:rFonts w:ascii="Times New Roman" w:eastAsia="Times New Roman" w:hAnsi="Times New Roman" w:cs="Times New Roman"/>
                <w:color w:val="000000"/>
                <w:sz w:val="24"/>
                <w:szCs w:val="24"/>
              </w:rPr>
              <w:t>chính ?</w:t>
            </w:r>
            <w:proofErr w:type="gramEnd"/>
            <w:r w:rsidRPr="00D041D4">
              <w:rPr>
                <w:rFonts w:ascii="Times New Roman" w:eastAsia="Times New Roman" w:hAnsi="Times New Roman" w:cs="Times New Roman"/>
                <w:color w:val="000000"/>
                <w:sz w:val="24"/>
                <w:szCs w:val="24"/>
              </w:rPr>
              <w:t xml:space="preserve"> Điều này đòi hỏi phải sử dụng một loạt các kỹ thuật xây dựng chỉ số.</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i/>
                <w:iCs/>
                <w:color w:val="000000"/>
                <w:sz w:val="24"/>
                <w:szCs w:val="24"/>
              </w:rPr>
              <w:t>Định lượng bất ổn tài chính và rủi ro hệ thống</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xml:space="preserve">Các chỉ số đo lường bất ổn tài chính được chia thành 4 loại: các chỉ số đo lường độ yếu </w:t>
            </w:r>
            <w:r w:rsidRPr="00D041D4">
              <w:rPr>
                <w:rFonts w:ascii="Times New Roman" w:eastAsia="Times New Roman" w:hAnsi="Times New Roman" w:cs="Times New Roman"/>
                <w:color w:val="000000"/>
                <w:sz w:val="24"/>
                <w:szCs w:val="24"/>
              </w:rPr>
              <w:lastRenderedPageBreak/>
              <w:t>kém năng lực tài chính dựa trên bảng cân đối kế toán, các chỉ số cảnh báo sớm, các chỉ số của mô hình Véctơ hồi quy và các kịch bản kiểm định khủng hoảng.</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Các chỉ số đo lường độ yếu kém năng lực tài chính dựa trên bảng cân đối kế toán (chẳng hạn như dự phòng thua lỗ tín dụng hay các khoản nợ khê đọng) hầu hết dựa trên số liệu lịch sử trong khi đánh giá của các tổ chức về nguyên tắc thì phải hướng tới những khả năng có thể xảy ra. Điều này là hoàn toàn mâu thuẫn.</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Các chỉ số cảnh báo sớm cho phép dự đoán những sự việc có thể xảy ra trong tương lai gần song lại không phản ánh được mô hình tương quan giữa nền kinh tế và lĩnh vực tài chính.</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Các chỉ số của mô hình Véctơ hồi quy là các mô hình khá linh hoạt cho phép dự báo và nắm bắt chu trình tác động của các cú sốc đối với nền kinh tế, đồng thời miêu tả tương đối chi tiết các yếu tố của lĩnh vực tài chính có tác động phản hồi đến nền kinh tế vĩ mô.</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Các kịch bản kiểm định khủng hoảng được sử dụng để kiểm định năng lực của hệ thống tài chính trước cú sốc lớn bất ngờ. Các đợt kiểm định được thiết kế sao cho đảm bảo liệt kê hết các tình huống có thể diễn ra trong tương lai, các yếu tố có thể gây ra khủng hoảng. Tuy vậy, nhìn chung, chúng không nắm bắt được mối tương quan giữa hệ thống tài chính và nền kinh tế vĩ mô, cũng như không cho thấy được một vấn đề quan trọng là những cú sốc nhỏ có thể có tác động rất lớn. Các kịch bản kiểm định cũng không xác định được mức độ tổn thương của cơn khủng hoảng hiện nay. Điều này làm đặt ra một câu hỏi là liệu có phải các yếu tố rủi ro đầu vào được xác định sai hoặc chúng ta đã để sót những yếu tố chính gây ra khủng hoảng.</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i/>
                <w:iCs/>
                <w:color w:val="000000"/>
                <w:sz w:val="24"/>
                <w:szCs w:val="24"/>
              </w:rPr>
              <w:t>Đánh giá  tầm quan trọng hệ thống của từng tổ chức tài chính</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Trong quá trình đánh giá này, giới chuyên môn đã đưa ra một khái niệm quan trọng là “Đồng phương giá trị rủi ro”, tức là đo lường giá trị rủi ro của hệ thống tài chính với điều kiện đặt các tổ chức tài chính trong bối cảnh khủng hoảng. Giá trị này xác định mức độ đóng góp cận biên của một tổ chức tài chính thêm vào đối với rủi ro hệ thống là giá trị chênh lệch giữa Đồng phương giá trị rủi ro với giá trị rủi ro của hệ thống tài chính. Tuy nhiên, một vấn đề cơ bản của phương pháp này là không phải một phép cộng đơn giản, nghĩa là tổng rủi ro của hệ thống không phải là tổng của các rủi ro đóng góp của tất cả các tổ chức.</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Một phương pháp khác đánh giá tầm quan trọng hệ thống của từng tổ chức là sử dụng thống kê, xác định xác suất có điều kiện có ít nhất thêm một ngân hàng đổ vỡ khi một ngân hàng đã sụp đổ. Phương pháp này sau đó được mở rộng ra thành đa biến và sử dụng Chỉ số quan trọng hệ thống, cho phép ước tính số lượng ngân hàng đổ vỡ khi một ngân hàng đã đổ vỡ trước đó.</w:t>
            </w:r>
          </w:p>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b/>
                <w:bCs/>
                <w:color w:val="000000"/>
                <w:sz w:val="24"/>
                <w:szCs w:val="24"/>
              </w:rPr>
              <w:t> </w:t>
            </w:r>
          </w:p>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b/>
                <w:bCs/>
                <w:color w:val="000000"/>
                <w:sz w:val="24"/>
                <w:szCs w:val="24"/>
              </w:rPr>
              <w:t>Mối tương quan giữa hệ thống tài chính và nền kinh tế vĩ mô</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Trong những năm gần đây, các ngân hàng trung ương ngày một dựa vào các mô hình “Tổng cân bằng ngẫu nhiên động” để hoạch định chính sách tiền tệ, từ đó bảo đảm sự ổn định của hệ thống tài chính. Tuy nhiên những mô hình này lại có 3 nhược điểm chính: một là, họ không xây dựng mô hình các yếu tố tài chính theo một ý nghĩa phù hợp, chẳng hạn như Ngân hàng Trung ương Anh phát triển mô hình “Tổng cân bằng ngẫu nhiên động” nhằm giúp Ủy ban chính sách tiền tệ đưa ra các dự báo kinh tế song không xét đến mức độ trung gian tài chính hay các yếu tố tài chính căn bản; hai là, các mô hình này thường giả định là thị trường hoàn hảo và phân tích những sai số dưới góc độ môi trường ổn định; ba là, các mô hình cũng mặc nhiên giả định vỡ nợ không thể xảy ra. Như vậy, việc nắm bắt được mối tương quan giữa hệ thống tài chính và nền kinh tế vĩ mô là hết sức quan trọng, bởi khi đó việc phối hợp đồng bộ giữa 2 chính sách sẽ trở nên triệt để, giải quyết được các vấn đề kinh tế một cách hiệu quả.</w:t>
            </w:r>
          </w:p>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xml:space="preserve">Không chỉ thiếu những mô hình xác định mối tương quan giữa hệ thống tài chính và nền kinh tế vĩ mô, việc thu thập số liệu để thiết kế được những công cụ chính sách thận trọng vĩ mô cũng rất </w:t>
            </w:r>
            <w:r w:rsidRPr="00D041D4">
              <w:rPr>
                <w:rFonts w:ascii="Times New Roman" w:eastAsia="Times New Roman" w:hAnsi="Times New Roman" w:cs="Times New Roman"/>
                <w:color w:val="000000"/>
                <w:sz w:val="24"/>
                <w:szCs w:val="24"/>
              </w:rPr>
              <w:lastRenderedPageBreak/>
              <w:t>khó khăn. Chẳng hạn như tại Mỹ, nhiều ý kiến đề xuất thành lập mới một cơ quan độc lập có nhiệm vụ thu thập số liệu về giá thị trường của các tài sản có, tài sản nợ nội, ngoại bảng của các công ty tài chính Mỹ để có thể giám sát trạng thái thanh khoản và mức độ đòn bẩy trong hệ thống ngân hàng Mỹ, mối tương quan giữa giá của các tài sản tài chính, mức độ biến động của danh mục đầu tư khi điều kiện kinh tế thay đổi.</w:t>
            </w:r>
          </w:p>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b/>
                <w:bCs/>
                <w:color w:val="000000"/>
                <w:sz w:val="24"/>
                <w:szCs w:val="24"/>
              </w:rPr>
              <w:t> </w:t>
            </w:r>
          </w:p>
          <w:p w:rsidR="00D041D4" w:rsidRPr="00D041D4" w:rsidRDefault="00D041D4" w:rsidP="00D041D4">
            <w:pPr>
              <w:spacing w:after="0" w:line="240" w:lineRule="auto"/>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b/>
                <w:bCs/>
                <w:color w:val="000000"/>
                <w:sz w:val="24"/>
                <w:szCs w:val="24"/>
              </w:rPr>
              <w:t>Chính sách tiền tệ và chính sách thận trọng vĩ mô</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Thách thức trong việc phối hợp chính sách tiền tệ với chính sách thận trọng vĩ mô cũng tương tự như thách thức trong việc phối hợp chính sách tiền tệ với chính sách tài khóa. Điều này đòi hỏi phải hiểu được mối tương quan giữa chúng để phát huy hiệu quả cao nhất của mỗi một chính sách. Tùy từng điều kiện của mỗi một quốc gia, mục tiêu và công cụ của chính sách thận trọng vĩ mô được xây dựng trên cơ sở xét đến kinh nghiệm quốc tế, phù hợp với hạ tầng tài chính của quốc gia đó, đồng thời nên được hoạch định theo hướng mở để thích ứng với môi trường tài chính liên thông toàn cầu.</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 </w:t>
            </w:r>
          </w:p>
          <w:p w:rsidR="00D041D4" w:rsidRPr="00D041D4" w:rsidRDefault="00D041D4" w:rsidP="00D041D4">
            <w:pPr>
              <w:spacing w:after="0" w:line="240" w:lineRule="auto"/>
              <w:ind w:firstLine="720"/>
              <w:jc w:val="both"/>
              <w:rPr>
                <w:rFonts w:ascii="Times New Roman" w:eastAsia="Times New Roman" w:hAnsi="Times New Roman" w:cs="Times New Roman"/>
                <w:color w:val="000000"/>
                <w:sz w:val="24"/>
                <w:szCs w:val="24"/>
              </w:rPr>
            </w:pPr>
            <w:r w:rsidRPr="00D041D4">
              <w:rPr>
                <w:rFonts w:ascii="Times New Roman" w:eastAsia="Times New Roman" w:hAnsi="Times New Roman" w:cs="Times New Roman"/>
                <w:color w:val="000000"/>
                <w:sz w:val="24"/>
                <w:szCs w:val="24"/>
              </w:rPr>
              <w:t>Hoàng Liên Sơn (nguồn BIS, FED, BOE)</w:t>
            </w:r>
          </w:p>
        </w:tc>
      </w:tr>
    </w:tbl>
    <w:p w:rsidR="00C6237D" w:rsidRPr="00D041D4" w:rsidRDefault="00C6237D" w:rsidP="00D041D4"/>
    <w:sectPr w:rsidR="00C6237D" w:rsidRPr="00D041D4" w:rsidSect="00C62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US" w:vendorID="64" w:dllVersion="131078" w:nlCheck="1" w:checkStyle="1"/>
  <w:proofState w:grammar="clean"/>
  <w:defaultTabStop w:val="720"/>
  <w:characterSpacingControl w:val="doNotCompress"/>
  <w:compat/>
  <w:rsids>
    <w:rsidRoot w:val="00D041D4"/>
    <w:rsid w:val="00134427"/>
    <w:rsid w:val="00C41930"/>
    <w:rsid w:val="00C6237D"/>
    <w:rsid w:val="00D041D4"/>
    <w:rsid w:val="00D720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3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nu6">
    <w:name w:val="menu6"/>
    <w:basedOn w:val="Normal"/>
    <w:rsid w:val="00D041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041D4"/>
  </w:style>
</w:styles>
</file>

<file path=word/webSettings.xml><?xml version="1.0" encoding="utf-8"?>
<w:webSettings xmlns:r="http://schemas.openxmlformats.org/officeDocument/2006/relationships" xmlns:w="http://schemas.openxmlformats.org/wordprocessingml/2006/main">
  <w:divs>
    <w:div w:id="60785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1584</Words>
  <Characters>9032</Characters>
  <Application>Microsoft Office Word</Application>
  <DocSecurity>0</DocSecurity>
  <Lines>75</Lines>
  <Paragraphs>21</Paragraphs>
  <ScaleCrop>false</ScaleCrop>
  <Company>Grizli777</Company>
  <LinksUpToDate>false</LinksUpToDate>
  <CharactersWithSpaces>10595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cu_cot</dc:creator>
  <cp:lastModifiedBy>cu_cot</cp:lastModifiedBy>
  <cp:revision>2</cp:revision>
  <dcterms:created xsi:type="dcterms:W3CDTF">2012-08-05T04:33:00Z</dcterms:created>
  <dcterms:modified xsi:type="dcterms:W3CDTF">2012-08-05T15:21:00Z</dcterms:modified>
</cp:coreProperties>
</file>